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Checklist — K3 Kebun, APD, &amp; Penanganan Bahan Kimia</w:t>
      </w:r>
    </w:p>
    <w:p>
      <w:pPr>
        <w:jc w:val="center"/>
      </w:pPr>
      <w:r>
        <w:rPr>
          <w:i/>
          <w:color w:val="444444"/>
          <w:sz w:val="22"/>
        </w:rPr>
        <w:t>Dokumen terpisah | dipakai harian dan saat kerja berisiko</w:t>
      </w:r>
    </w:p>
    <w:p>
      <w:r>
        <w:t>Cara pakai:</w:t>
      </w:r>
    </w:p>
    <w:p>
      <w:r>
        <w:t>• Isi Status: OK / Belum / Perlu revisi.</w:t>
      </w:r>
    </w:p>
    <w:p>
      <w:r>
        <w:t>• Isi Bukti: foto/link file/nama catatan.</w:t>
      </w:r>
    </w:p>
    <w:p/>
    <w:p>
      <w:r>
        <w:rPr>
          <w:b/>
          <w:color w:val="1F4E79"/>
          <w:sz w:val="28"/>
        </w:rPr>
        <w:t>Gudang &amp; penyimpanan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Gudang terkunci &amp; berventilasi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Bahan kimia dipisah dari benih/makanan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Kemasan utuh &amp; label terbaca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Tidak ada bahan dipindah ke botol minuman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Area mixing jelas &amp; aman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APD &amp; briefing sebelum kerja berisiko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APD minimum tersedia untuk semua pelaksana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Briefing singkat dilakukan (target, area, larangan)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Tidak makan/minum/rokok saat kerja kimia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Area semprot bebas orang lain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Cuaca/angin aman untuk semprot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Mixing &amp; aplikasi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Yang dicek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Dosis diukur (bukan kira-kira)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Urutan campur sesuai label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APD dipakai lengkap saat mixing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Catatan aplikasi dibuat (bahan, dosis, blok)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Interval panen (PHI) dipatuhi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Setelah kerja &amp; tanggap darurat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Cuci tangan/mandi setelah kerja kimia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Pakaian kerja dicuci terpisah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Alat semprot dibersihkan di area aman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Kotak P3K &amp; air bersih siap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Jika insiden: catatan insiden dibuat + aksi perbaikan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i/>
          <w:color w:val="555555"/>
        </w:rPr>
        <w:t>Versi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